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9A" w:rsidRDefault="0082769A" w:rsidP="0082769A">
      <w:pPr>
        <w:jc w:val="center"/>
        <w:rPr>
          <w:rFonts w:eastAsia="標楷體"/>
          <w:bCs/>
          <w:kern w:val="2"/>
          <w:sz w:val="36"/>
          <w:szCs w:val="36"/>
        </w:rPr>
      </w:pPr>
      <w:r>
        <w:rPr>
          <w:rFonts w:eastAsia="標楷體" w:hint="eastAsia"/>
          <w:bCs/>
          <w:sz w:val="36"/>
          <w:szCs w:val="36"/>
        </w:rPr>
        <w:t>國立彰化師範大學工學院電子工程學系</w:t>
      </w:r>
    </w:p>
    <w:p w:rsidR="0082769A" w:rsidRDefault="0082769A" w:rsidP="0082769A">
      <w:pPr>
        <w:jc w:val="center"/>
        <w:rPr>
          <w:rFonts w:eastAsia="標楷體"/>
          <w:bCs/>
          <w:spacing w:val="40"/>
          <w:sz w:val="36"/>
          <w:szCs w:val="36"/>
        </w:rPr>
      </w:pPr>
      <w:r>
        <w:rPr>
          <w:rFonts w:eastAsia="標楷體" w:hint="eastAsia"/>
          <w:bCs/>
          <w:spacing w:val="40"/>
          <w:sz w:val="36"/>
          <w:szCs w:val="36"/>
        </w:rPr>
        <w:t>碩士班學位考試注意事項</w:t>
      </w:r>
    </w:p>
    <w:p w:rsidR="0082769A" w:rsidRDefault="0082769A" w:rsidP="0082769A">
      <w:pPr>
        <w:wordWrap w:val="0"/>
        <w:ind w:leftChars="38" w:left="491" w:right="113" w:hangingChars="200" w:hanging="400"/>
        <w:jc w:val="right"/>
        <w:rPr>
          <w:rFonts w:eastAsia="標楷體"/>
          <w:sz w:val="20"/>
        </w:rPr>
      </w:pPr>
      <w:r>
        <w:rPr>
          <w:rFonts w:eastAsia="標楷體"/>
          <w:sz w:val="20"/>
        </w:rPr>
        <w:t>92.06.20</w:t>
      </w:r>
      <w:r>
        <w:rPr>
          <w:rFonts w:eastAsia="標楷體" w:hint="eastAsia"/>
          <w:sz w:val="20"/>
        </w:rPr>
        <w:t>系</w:t>
      </w:r>
      <w:proofErr w:type="gramStart"/>
      <w:r>
        <w:rPr>
          <w:rFonts w:eastAsia="標楷體" w:hint="eastAsia"/>
          <w:sz w:val="20"/>
        </w:rPr>
        <w:t>務</w:t>
      </w:r>
      <w:proofErr w:type="gramEnd"/>
      <w:r>
        <w:rPr>
          <w:rFonts w:eastAsia="標楷體" w:hint="eastAsia"/>
          <w:sz w:val="20"/>
        </w:rPr>
        <w:t>會議通過</w:t>
      </w:r>
    </w:p>
    <w:p w:rsidR="0082769A" w:rsidRDefault="0082769A" w:rsidP="0082769A">
      <w:pPr>
        <w:ind w:leftChars="38" w:left="491" w:right="113" w:hangingChars="200" w:hanging="400"/>
        <w:jc w:val="right"/>
        <w:rPr>
          <w:rFonts w:eastAsia="標楷體"/>
          <w:sz w:val="20"/>
        </w:rPr>
      </w:pPr>
      <w:r>
        <w:rPr>
          <w:rFonts w:eastAsia="標楷體"/>
          <w:sz w:val="20"/>
        </w:rPr>
        <w:t>109.10.27</w:t>
      </w:r>
      <w:r>
        <w:rPr>
          <w:rFonts w:eastAsia="標楷體" w:hint="eastAsia"/>
          <w:sz w:val="20"/>
        </w:rPr>
        <w:t>系</w:t>
      </w:r>
      <w:proofErr w:type="gramStart"/>
      <w:r>
        <w:rPr>
          <w:rFonts w:eastAsia="標楷體" w:hint="eastAsia"/>
          <w:sz w:val="20"/>
        </w:rPr>
        <w:t>務</w:t>
      </w:r>
      <w:proofErr w:type="gramEnd"/>
      <w:r>
        <w:rPr>
          <w:rFonts w:eastAsia="標楷體" w:hint="eastAsia"/>
          <w:sz w:val="20"/>
        </w:rPr>
        <w:t>會議修正通過</w:t>
      </w:r>
    </w:p>
    <w:p w:rsidR="0082769A" w:rsidRDefault="0082769A" w:rsidP="0082769A">
      <w:pPr>
        <w:wordWrap w:val="0"/>
        <w:ind w:leftChars="38" w:left="491" w:right="113" w:hangingChars="200" w:hanging="400"/>
        <w:jc w:val="right"/>
        <w:rPr>
          <w:rFonts w:eastAsia="標楷體" w:hint="eastAsia"/>
          <w:sz w:val="20"/>
        </w:rPr>
      </w:pPr>
      <w:r>
        <w:rPr>
          <w:rFonts w:eastAsia="標楷體" w:hint="eastAsia"/>
          <w:sz w:val="20"/>
        </w:rPr>
        <w:t>112.10.03</w:t>
      </w:r>
      <w:r>
        <w:rPr>
          <w:rFonts w:eastAsia="標楷體" w:hint="eastAsia"/>
          <w:sz w:val="20"/>
        </w:rPr>
        <w:t>系</w:t>
      </w:r>
      <w:proofErr w:type="gramStart"/>
      <w:r>
        <w:rPr>
          <w:rFonts w:eastAsia="標楷體" w:hint="eastAsia"/>
          <w:sz w:val="20"/>
        </w:rPr>
        <w:t>務</w:t>
      </w:r>
      <w:proofErr w:type="gramEnd"/>
      <w:r>
        <w:rPr>
          <w:rFonts w:eastAsia="標楷體" w:hint="eastAsia"/>
          <w:sz w:val="20"/>
        </w:rPr>
        <w:t>會議修正</w:t>
      </w:r>
      <w:r>
        <w:rPr>
          <w:rFonts w:eastAsia="標楷體" w:hint="eastAsia"/>
          <w:sz w:val="20"/>
        </w:rPr>
        <w:t>通過</w:t>
      </w:r>
    </w:p>
    <w:p w:rsidR="0082769A" w:rsidRDefault="0082769A" w:rsidP="0082769A">
      <w:pPr>
        <w:ind w:leftChars="38" w:left="651" w:right="113" w:hangingChars="200" w:hanging="560"/>
        <w:jc w:val="both"/>
        <w:rPr>
          <w:rFonts w:eastAsia="標楷體"/>
          <w:sz w:val="28"/>
          <w:szCs w:val="24"/>
        </w:rPr>
      </w:pPr>
    </w:p>
    <w:p w:rsidR="0082769A" w:rsidRDefault="0082769A" w:rsidP="0082769A">
      <w:pPr>
        <w:snapToGrid w:val="0"/>
        <w:spacing w:line="360" w:lineRule="auto"/>
        <w:ind w:leftChars="6" w:left="602" w:right="113" w:hangingChars="210" w:hanging="588"/>
        <w:jc w:val="both"/>
        <w:rPr>
          <w:rFonts w:eastAsia="標楷體"/>
          <w:sz w:val="28"/>
        </w:rPr>
      </w:pPr>
      <w:r>
        <w:rPr>
          <w:rFonts w:eastAsia="標楷體" w:hint="eastAsia"/>
          <w:sz w:val="28"/>
        </w:rPr>
        <w:t>一、碩士班學位考試以口試行之，惟若有特殊情況得報請系</w:t>
      </w:r>
      <w:proofErr w:type="gramStart"/>
      <w:r>
        <w:rPr>
          <w:rFonts w:eastAsia="標楷體" w:hint="eastAsia"/>
          <w:sz w:val="28"/>
        </w:rPr>
        <w:t>務</w:t>
      </w:r>
      <w:proofErr w:type="gramEnd"/>
      <w:r>
        <w:rPr>
          <w:rFonts w:eastAsia="標楷體" w:hint="eastAsia"/>
          <w:sz w:val="28"/>
        </w:rPr>
        <w:t>會議決定後，以適當方式進行之。</w:t>
      </w:r>
    </w:p>
    <w:p w:rsidR="0082769A" w:rsidRDefault="0082769A" w:rsidP="0082769A">
      <w:pPr>
        <w:snapToGrid w:val="0"/>
        <w:spacing w:line="360" w:lineRule="auto"/>
        <w:ind w:leftChars="6" w:left="602" w:right="113" w:hangingChars="210" w:hanging="588"/>
        <w:jc w:val="both"/>
        <w:rPr>
          <w:rFonts w:eastAsia="標楷體"/>
          <w:sz w:val="28"/>
        </w:rPr>
      </w:pPr>
      <w:r>
        <w:rPr>
          <w:rFonts w:eastAsia="標楷體" w:hint="eastAsia"/>
          <w:sz w:val="28"/>
        </w:rPr>
        <w:t>二、研究生必須合法完成修業規定，其修業期間之研究成果並需達到本系【研究生畢業共同規範】附註</w:t>
      </w:r>
      <w:proofErr w:type="gramStart"/>
      <w:r>
        <w:rPr>
          <w:rFonts w:eastAsia="標楷體" w:hint="eastAsia"/>
          <w:sz w:val="28"/>
        </w:rPr>
        <w:t>一</w:t>
      </w:r>
      <w:proofErr w:type="gramEnd"/>
      <w:r>
        <w:rPr>
          <w:rFonts w:eastAsia="標楷體" w:hint="eastAsia"/>
          <w:sz w:val="28"/>
        </w:rPr>
        <w:t>之要求。</w:t>
      </w:r>
    </w:p>
    <w:p w:rsidR="0082769A" w:rsidRDefault="0082769A" w:rsidP="0082769A">
      <w:pPr>
        <w:snapToGrid w:val="0"/>
        <w:spacing w:line="360" w:lineRule="auto"/>
        <w:ind w:leftChars="6" w:left="602" w:right="113" w:hangingChars="210" w:hanging="588"/>
        <w:jc w:val="both"/>
        <w:rPr>
          <w:rFonts w:eastAsia="標楷體"/>
          <w:sz w:val="28"/>
        </w:rPr>
      </w:pPr>
      <w:r>
        <w:rPr>
          <w:rFonts w:eastAsia="標楷體" w:hint="eastAsia"/>
          <w:sz w:val="28"/>
        </w:rPr>
        <w:t>三、研究生申請學位考試，必須在考試日期前一個月提出</w:t>
      </w:r>
      <w:r>
        <w:rPr>
          <w:rFonts w:eastAsia="標楷體"/>
          <w:sz w:val="28"/>
        </w:rPr>
        <w:t>(</w:t>
      </w:r>
      <w:r>
        <w:rPr>
          <w:rFonts w:eastAsia="標楷體" w:hint="eastAsia"/>
          <w:sz w:val="28"/>
        </w:rPr>
        <w:t>詳細日期見當年度本校行事曆</w:t>
      </w:r>
      <w:r>
        <w:rPr>
          <w:rFonts w:eastAsia="標楷體"/>
          <w:sz w:val="28"/>
        </w:rPr>
        <w:t>)</w:t>
      </w:r>
      <w:r>
        <w:rPr>
          <w:rFonts w:eastAsia="標楷體" w:hint="eastAsia"/>
          <w:sz w:val="28"/>
        </w:rPr>
        <w:t>。</w:t>
      </w:r>
    </w:p>
    <w:p w:rsidR="0082769A" w:rsidRDefault="0082769A" w:rsidP="0082769A">
      <w:pPr>
        <w:snapToGrid w:val="0"/>
        <w:spacing w:after="120" w:line="300" w:lineRule="auto"/>
        <w:ind w:left="602" w:hangingChars="215" w:hanging="602"/>
        <w:jc w:val="both"/>
        <w:rPr>
          <w:rFonts w:eastAsia="標楷體" w:hAnsi="標楷體"/>
          <w:sz w:val="28"/>
        </w:rPr>
      </w:pPr>
      <w:r>
        <w:rPr>
          <w:rFonts w:eastAsia="標楷體" w:hint="eastAsia"/>
          <w:sz w:val="28"/>
        </w:rPr>
        <w:t>四、曾</w:t>
      </w:r>
      <w:r>
        <w:rPr>
          <w:rFonts w:eastAsia="標楷體" w:hAnsi="標楷體" w:hint="eastAsia"/>
          <w:sz w:val="28"/>
        </w:rPr>
        <w:t>更換指導教授之研究生於舉行學位論文口試十天前應將一份論文稿送原指導教授親自簽收。如發生對研究成果歸屬之爭議，原指導教授應於口試五天前向系辦提出申訴。提出申訴後，口試暫停，並由系</w:t>
      </w:r>
      <w:proofErr w:type="gramStart"/>
      <w:r>
        <w:rPr>
          <w:rFonts w:eastAsia="標楷體" w:hAnsi="標楷體" w:hint="eastAsia"/>
          <w:sz w:val="28"/>
        </w:rPr>
        <w:t>務</w:t>
      </w:r>
      <w:proofErr w:type="gramEnd"/>
      <w:r>
        <w:rPr>
          <w:rFonts w:eastAsia="標楷體" w:hAnsi="標楷體" w:hint="eastAsia"/>
          <w:sz w:val="28"/>
        </w:rPr>
        <w:t>會議於一個月內裁決之。</w:t>
      </w:r>
    </w:p>
    <w:p w:rsidR="0082769A" w:rsidRDefault="0082769A" w:rsidP="0082769A">
      <w:pPr>
        <w:snapToGrid w:val="0"/>
        <w:spacing w:line="360" w:lineRule="auto"/>
        <w:ind w:leftChars="6" w:left="602" w:right="113" w:hangingChars="210" w:hanging="588"/>
        <w:jc w:val="both"/>
        <w:rPr>
          <w:rFonts w:eastAsia="標楷體"/>
          <w:sz w:val="28"/>
          <w:szCs w:val="24"/>
        </w:rPr>
      </w:pPr>
      <w:r>
        <w:rPr>
          <w:rFonts w:eastAsia="標楷體" w:hint="eastAsia"/>
          <w:sz w:val="28"/>
        </w:rPr>
        <w:t>五、碩士學位考試之考試委員由三至五人組成，其中校外委員須</w:t>
      </w:r>
      <w:proofErr w:type="gramStart"/>
      <w:r>
        <w:rPr>
          <w:rFonts w:eastAsia="標楷體" w:hint="eastAsia"/>
          <w:sz w:val="28"/>
        </w:rPr>
        <w:t>佔</w:t>
      </w:r>
      <w:proofErr w:type="gramEnd"/>
      <w:r>
        <w:rPr>
          <w:rFonts w:eastAsia="標楷體" w:hint="eastAsia"/>
          <w:sz w:val="28"/>
        </w:rPr>
        <w:t>三分之一以上，由系主任報請校長聘請之。</w:t>
      </w:r>
    </w:p>
    <w:p w:rsidR="0082769A" w:rsidRPr="00AE7BE9" w:rsidRDefault="0082769A" w:rsidP="0082769A">
      <w:pPr>
        <w:snapToGrid w:val="0"/>
        <w:spacing w:line="360" w:lineRule="auto"/>
        <w:ind w:leftChars="6" w:left="602" w:right="113" w:hangingChars="210" w:hanging="588"/>
        <w:jc w:val="both"/>
        <w:rPr>
          <w:rFonts w:ascii="標楷體" w:eastAsia="標楷體" w:hAnsi="標楷體"/>
          <w:sz w:val="28"/>
        </w:rPr>
      </w:pPr>
      <w:r>
        <w:rPr>
          <w:rFonts w:eastAsia="標楷體" w:hint="eastAsia"/>
          <w:sz w:val="28"/>
        </w:rPr>
        <w:t>六、碩士學</w:t>
      </w:r>
      <w:r w:rsidRPr="00AE7BE9">
        <w:rPr>
          <w:rFonts w:ascii="標楷體" w:eastAsia="標楷體" w:hAnsi="標楷體" w:hint="eastAsia"/>
          <w:sz w:val="28"/>
        </w:rPr>
        <w:t>位考試委員，應對修讀碩士學位學生之研究領域有專門研究，並具有下列資格之</w:t>
      </w:r>
      <w:proofErr w:type="gramStart"/>
      <w:r w:rsidRPr="00AE7BE9">
        <w:rPr>
          <w:rFonts w:ascii="標楷體" w:eastAsia="標楷體" w:hAnsi="標楷體" w:hint="eastAsia"/>
          <w:sz w:val="28"/>
        </w:rPr>
        <w:t>一</w:t>
      </w:r>
      <w:proofErr w:type="gramEnd"/>
      <w:r w:rsidRPr="00AE7BE9">
        <w:rPr>
          <w:rFonts w:ascii="標楷體" w:eastAsia="標楷體" w:hAnsi="標楷體" w:hint="eastAsia"/>
          <w:sz w:val="28"/>
        </w:rPr>
        <w:t>：</w:t>
      </w:r>
    </w:p>
    <w:p w:rsidR="0082769A" w:rsidRPr="00AE7BE9" w:rsidRDefault="0082769A" w:rsidP="00AE7BE9">
      <w:pPr>
        <w:pStyle w:val="a5"/>
        <w:numPr>
          <w:ilvl w:val="0"/>
          <w:numId w:val="1"/>
        </w:numPr>
        <w:suppressAutoHyphens w:val="0"/>
        <w:autoSpaceDN/>
        <w:snapToGrid w:val="0"/>
        <w:spacing w:line="360" w:lineRule="auto"/>
        <w:ind w:right="113" w:firstLine="207"/>
        <w:jc w:val="both"/>
        <w:textAlignment w:val="auto"/>
        <w:rPr>
          <w:rFonts w:ascii="標楷體" w:eastAsia="標楷體" w:hAnsi="標楷體"/>
          <w:sz w:val="28"/>
        </w:rPr>
      </w:pPr>
      <w:r w:rsidRPr="00AE7BE9">
        <w:rPr>
          <w:rFonts w:ascii="標楷體" w:eastAsia="標楷體" w:hAnsi="標楷體" w:hint="eastAsia"/>
          <w:sz w:val="28"/>
        </w:rPr>
        <w:t>現任或曾任教授、副教授、助理教授。</w:t>
      </w:r>
    </w:p>
    <w:p w:rsidR="0082769A" w:rsidRPr="00AE7BE9" w:rsidRDefault="0082769A" w:rsidP="00AE7BE9">
      <w:pPr>
        <w:numPr>
          <w:ilvl w:val="0"/>
          <w:numId w:val="1"/>
        </w:numPr>
        <w:tabs>
          <w:tab w:val="clear" w:pos="360"/>
        </w:tabs>
        <w:suppressAutoHyphens w:val="0"/>
        <w:autoSpaceDN/>
        <w:snapToGrid w:val="0"/>
        <w:spacing w:line="360" w:lineRule="auto"/>
        <w:ind w:left="1418" w:right="113" w:hanging="851"/>
        <w:jc w:val="both"/>
        <w:textAlignment w:val="auto"/>
        <w:rPr>
          <w:rFonts w:ascii="標楷體" w:eastAsia="標楷體" w:hAnsi="標楷體"/>
          <w:sz w:val="28"/>
        </w:rPr>
      </w:pPr>
      <w:r w:rsidRPr="00AE7BE9">
        <w:rPr>
          <w:rFonts w:ascii="標楷體" w:eastAsia="標楷體" w:hAnsi="標楷體" w:hint="eastAsia"/>
          <w:sz w:val="28"/>
        </w:rPr>
        <w:t>中央研究院院士、現任或曾任中央研究院研究員、副研究員</w:t>
      </w:r>
      <w:r w:rsidRPr="00AE7BE9">
        <w:rPr>
          <w:rFonts w:ascii="標楷體" w:eastAsia="標楷體" w:hAnsi="標楷體" w:hint="eastAsia"/>
          <w:b/>
          <w:sz w:val="28"/>
        </w:rPr>
        <w:t>、</w:t>
      </w:r>
      <w:r w:rsidRPr="00AE7BE9">
        <w:rPr>
          <w:rFonts w:ascii="標楷體" w:eastAsia="標楷體" w:hAnsi="標楷體" w:hint="eastAsia"/>
          <w:sz w:val="28"/>
        </w:rPr>
        <w:t>助理研究員。</w:t>
      </w:r>
    </w:p>
    <w:p w:rsidR="0082769A" w:rsidRPr="00AE7BE9" w:rsidRDefault="0082769A" w:rsidP="0082769A">
      <w:pPr>
        <w:numPr>
          <w:ilvl w:val="0"/>
          <w:numId w:val="1"/>
        </w:numPr>
        <w:suppressAutoHyphens w:val="0"/>
        <w:autoSpaceDN/>
        <w:snapToGrid w:val="0"/>
        <w:spacing w:line="360" w:lineRule="auto"/>
        <w:ind w:left="826" w:right="113" w:hanging="248"/>
        <w:jc w:val="both"/>
        <w:textAlignment w:val="auto"/>
        <w:rPr>
          <w:rFonts w:ascii="標楷體" w:eastAsia="標楷體" w:hAnsi="標楷體"/>
          <w:sz w:val="28"/>
        </w:rPr>
      </w:pPr>
      <w:r w:rsidRPr="00AE7BE9">
        <w:rPr>
          <w:rFonts w:ascii="標楷體" w:eastAsia="標楷體" w:hAnsi="標楷體" w:hint="eastAsia"/>
          <w:sz w:val="28"/>
        </w:rPr>
        <w:t>獲有博士學位，在學術上著有成就。</w:t>
      </w:r>
    </w:p>
    <w:p w:rsidR="0082769A" w:rsidRPr="00AE7BE9" w:rsidRDefault="0082769A" w:rsidP="00D958E9">
      <w:pPr>
        <w:numPr>
          <w:ilvl w:val="0"/>
          <w:numId w:val="1"/>
        </w:numPr>
        <w:tabs>
          <w:tab w:val="clear" w:pos="360"/>
        </w:tabs>
        <w:suppressAutoHyphens w:val="0"/>
        <w:autoSpaceDN/>
        <w:snapToGrid w:val="0"/>
        <w:spacing w:line="360" w:lineRule="auto"/>
        <w:ind w:left="1418" w:right="113" w:hanging="851"/>
        <w:jc w:val="both"/>
        <w:textAlignment w:val="auto"/>
        <w:rPr>
          <w:rFonts w:ascii="標楷體" w:eastAsia="標楷體" w:hAnsi="標楷體"/>
          <w:sz w:val="28"/>
        </w:rPr>
      </w:pPr>
      <w:r w:rsidRPr="00AE7BE9">
        <w:rPr>
          <w:rFonts w:ascii="標楷體" w:eastAsia="標楷體" w:hAnsi="標楷體" w:hint="eastAsia"/>
          <w:sz w:val="28"/>
        </w:rPr>
        <w:t>研究領域屬</w:t>
      </w:r>
      <w:r w:rsidR="00AE7BE9">
        <w:rPr>
          <w:rFonts w:ascii="標楷體" w:eastAsia="標楷體" w:hAnsi="標楷體" w:hint="eastAsia"/>
          <w:sz w:val="28"/>
        </w:rPr>
        <w:t>於稀少性、</w:t>
      </w:r>
      <w:r w:rsidRPr="00AE7BE9">
        <w:rPr>
          <w:rFonts w:ascii="標楷體" w:eastAsia="標楷體" w:hAnsi="標楷體" w:hint="eastAsia"/>
          <w:sz w:val="28"/>
        </w:rPr>
        <w:t>特殊性學科或屬專業實務，且</w:t>
      </w:r>
      <w:r w:rsidR="00097B5F" w:rsidRPr="00AE7BE9">
        <w:rPr>
          <w:rFonts w:ascii="標楷體" w:eastAsia="標楷體" w:hAnsi="標楷體" w:hint="eastAsia"/>
          <w:sz w:val="28"/>
        </w:rPr>
        <w:t>在學術上或專業上著有成就</w:t>
      </w:r>
      <w:r w:rsidRPr="00AE7BE9">
        <w:rPr>
          <w:rFonts w:ascii="標楷體" w:eastAsia="標楷體" w:hAnsi="標楷體" w:hint="eastAsia"/>
          <w:sz w:val="28"/>
        </w:rPr>
        <w:t>。</w:t>
      </w:r>
      <w:bookmarkStart w:id="0" w:name="_GoBack"/>
      <w:bookmarkEnd w:id="0"/>
    </w:p>
    <w:p w:rsidR="0082769A" w:rsidRPr="00AE7BE9" w:rsidRDefault="00AE7BE9" w:rsidP="0082769A">
      <w:pPr>
        <w:snapToGrid w:val="0"/>
        <w:spacing w:line="360" w:lineRule="auto"/>
        <w:ind w:left="578" w:right="113"/>
        <w:jc w:val="both"/>
        <w:rPr>
          <w:rFonts w:ascii="標楷體" w:eastAsia="標楷體" w:hAnsi="標楷體"/>
          <w:sz w:val="28"/>
        </w:rPr>
      </w:pPr>
      <w:r w:rsidRPr="00AE7BE9">
        <w:rPr>
          <w:rFonts w:ascii="標楷體" w:eastAsia="標楷體" w:hAnsi="標楷體" w:hint="eastAsia"/>
          <w:sz w:val="28"/>
        </w:rPr>
        <w:t>其中</w:t>
      </w:r>
      <w:r w:rsidR="0082769A" w:rsidRPr="00AE7BE9">
        <w:rPr>
          <w:rFonts w:ascii="標楷體" w:eastAsia="標楷體" w:hAnsi="標楷體" w:hint="eastAsia"/>
          <w:sz w:val="28"/>
        </w:rPr>
        <w:t>第</w:t>
      </w:r>
      <w:r w:rsidR="0082769A" w:rsidRPr="00AE7BE9">
        <w:rPr>
          <w:rFonts w:ascii="標楷體" w:eastAsia="標楷體" w:hAnsi="標楷體"/>
          <w:b/>
          <w:sz w:val="28"/>
        </w:rPr>
        <w:t>三</w:t>
      </w:r>
      <w:r w:rsidR="0082769A" w:rsidRPr="00AE7BE9">
        <w:rPr>
          <w:rFonts w:ascii="標楷體" w:eastAsia="標楷體" w:hAnsi="標楷體" w:hint="eastAsia"/>
          <w:sz w:val="28"/>
        </w:rPr>
        <w:t>款及第</w:t>
      </w:r>
      <w:r w:rsidR="0082769A" w:rsidRPr="00AE7BE9">
        <w:rPr>
          <w:rFonts w:ascii="標楷體" w:eastAsia="標楷體" w:hAnsi="標楷體"/>
          <w:sz w:val="28"/>
        </w:rPr>
        <w:t>四</w:t>
      </w:r>
      <w:r w:rsidR="0082769A" w:rsidRPr="00AE7BE9">
        <w:rPr>
          <w:rFonts w:ascii="標楷體" w:eastAsia="標楷體" w:hAnsi="標楷體" w:hint="eastAsia"/>
          <w:sz w:val="28"/>
        </w:rPr>
        <w:t>款中學術上著有成就之認定基準為:具有公開審查制度之專利、期刊及研討會論文於 3 年內達到 5 篇以上。</w:t>
      </w:r>
    </w:p>
    <w:p w:rsidR="0082769A" w:rsidRDefault="0082769A" w:rsidP="0082769A">
      <w:pPr>
        <w:snapToGrid w:val="0"/>
        <w:spacing w:line="360" w:lineRule="auto"/>
        <w:ind w:leftChars="6" w:left="602" w:hangingChars="210" w:hanging="588"/>
        <w:jc w:val="both"/>
        <w:rPr>
          <w:rFonts w:eastAsia="標楷體"/>
          <w:sz w:val="28"/>
        </w:rPr>
      </w:pPr>
      <w:r>
        <w:rPr>
          <w:rFonts w:eastAsia="標楷體" w:hint="eastAsia"/>
          <w:sz w:val="28"/>
        </w:rPr>
        <w:t>七、學位考試成績以一百分為滿分，七十分為及格</w:t>
      </w:r>
      <w:r>
        <w:rPr>
          <w:rFonts w:ascii="標楷體" w:eastAsia="標楷體" w:hint="eastAsia"/>
          <w:sz w:val="28"/>
        </w:rPr>
        <w:t>，</w:t>
      </w:r>
      <w:r>
        <w:rPr>
          <w:rFonts w:eastAsia="標楷體" w:hint="eastAsia"/>
          <w:sz w:val="28"/>
        </w:rPr>
        <w:t>以出席委員評定分數平均之。</w:t>
      </w:r>
      <w:r>
        <w:rPr>
          <w:rFonts w:ascii="標楷體" w:eastAsia="標楷體" w:hint="eastAsia"/>
          <w:sz w:val="28"/>
        </w:rPr>
        <w:lastRenderedPageBreak/>
        <w:t>惟若有二分之一以上之委員評定不及格者，以不及格論，不復平均。</w:t>
      </w:r>
      <w:r>
        <w:rPr>
          <w:rFonts w:eastAsia="標楷體" w:hint="eastAsia"/>
          <w:sz w:val="28"/>
        </w:rPr>
        <w:t>不及格者，若延長修業年限尚未屆滿，得於次學年或次學期申請重考一次，重考以一次為限。</w:t>
      </w:r>
    </w:p>
    <w:p w:rsidR="0082769A" w:rsidRDefault="0082769A" w:rsidP="0082769A">
      <w:pPr>
        <w:snapToGrid w:val="0"/>
        <w:spacing w:line="360" w:lineRule="auto"/>
        <w:ind w:leftChars="6" w:left="602" w:hangingChars="210" w:hanging="588"/>
        <w:jc w:val="both"/>
        <w:rPr>
          <w:rFonts w:eastAsia="標楷體"/>
          <w:sz w:val="28"/>
        </w:rPr>
      </w:pPr>
      <w:r>
        <w:rPr>
          <w:rFonts w:eastAsia="標楷體" w:hint="eastAsia"/>
          <w:sz w:val="28"/>
        </w:rPr>
        <w:t>八、本注意事項若有未盡事宜，悉依本校相關規定辦理。</w:t>
      </w:r>
    </w:p>
    <w:p w:rsidR="0082769A" w:rsidRDefault="0082769A" w:rsidP="0082769A">
      <w:pPr>
        <w:snapToGrid w:val="0"/>
        <w:spacing w:line="360" w:lineRule="auto"/>
        <w:ind w:leftChars="6" w:left="602" w:hangingChars="210" w:hanging="588"/>
        <w:jc w:val="both"/>
        <w:rPr>
          <w:rFonts w:eastAsia="標楷體"/>
          <w:sz w:val="28"/>
        </w:rPr>
      </w:pPr>
      <w:r>
        <w:rPr>
          <w:rFonts w:eastAsia="標楷體" w:hint="eastAsia"/>
          <w:sz w:val="28"/>
        </w:rPr>
        <w:t>九、本注意事項經系</w:t>
      </w:r>
      <w:proofErr w:type="gramStart"/>
      <w:r>
        <w:rPr>
          <w:rFonts w:eastAsia="標楷體" w:hint="eastAsia"/>
          <w:sz w:val="28"/>
        </w:rPr>
        <w:t>務</w:t>
      </w:r>
      <w:proofErr w:type="gramEnd"/>
      <w:r>
        <w:rPr>
          <w:rFonts w:eastAsia="標楷體" w:hint="eastAsia"/>
          <w:sz w:val="28"/>
        </w:rPr>
        <w:t>會議通過後實施，修正時亦同。</w:t>
      </w:r>
    </w:p>
    <w:p w:rsidR="0082769A" w:rsidRPr="006B76D9" w:rsidRDefault="0082769A" w:rsidP="0082769A">
      <w:pPr>
        <w:rPr>
          <w:rFonts w:hint="eastAsia"/>
        </w:rPr>
      </w:pPr>
    </w:p>
    <w:p w:rsidR="006A20D7" w:rsidRPr="0082769A" w:rsidRDefault="006A20D7"/>
    <w:sectPr w:rsidR="006A20D7" w:rsidRPr="0082769A">
      <w:footerReference w:type="default" r:id="rId5"/>
      <w:pgSz w:w="11907" w:h="16840"/>
      <w:pgMar w:top="851" w:right="992" w:bottom="426" w:left="851" w:header="720" w:footer="587" w:gutter="0"/>
      <w:cols w:space="720"/>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83" w:rsidRDefault="00D958E9">
    <w:pPr>
      <w:pStyle w:val="a3"/>
      <w:jc w:val="center"/>
    </w:pPr>
    <w:r>
      <w:rPr>
        <w:sz w:val="24"/>
        <w:lang w:val="zh-TW"/>
      </w:rPr>
      <w:fldChar w:fldCharType="begin"/>
    </w:r>
    <w:r>
      <w:rPr>
        <w:sz w:val="24"/>
        <w:lang w:val="zh-TW"/>
      </w:rPr>
      <w:instrText xml:space="preserve"> PAGE </w:instrText>
    </w:r>
    <w:r>
      <w:rPr>
        <w:sz w:val="24"/>
        <w:lang w:val="zh-TW"/>
      </w:rPr>
      <w:fldChar w:fldCharType="separate"/>
    </w:r>
    <w:r>
      <w:rPr>
        <w:noProof/>
        <w:sz w:val="24"/>
        <w:lang w:val="zh-TW"/>
      </w:rPr>
      <w:t>2</w:t>
    </w:r>
    <w:r>
      <w:rPr>
        <w:sz w:val="24"/>
        <w:lang w:val="zh-TW"/>
      </w:rPr>
      <w:fldChar w:fldCharType="end"/>
    </w:r>
  </w:p>
  <w:p w:rsidR="00CB3883" w:rsidRDefault="00D958E9">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A68"/>
    <w:multiLevelType w:val="hybridMultilevel"/>
    <w:tmpl w:val="F1A62590"/>
    <w:lvl w:ilvl="0" w:tplc="4BF45EA8">
      <w:start w:val="1"/>
      <w:numFmt w:val="taiwaneseCountingThousand"/>
      <w:lvlText w:val="（%1）"/>
      <w:lvlJc w:val="left"/>
      <w:pPr>
        <w:tabs>
          <w:tab w:val="num" w:pos="360"/>
        </w:tabs>
        <w:ind w:left="360" w:hanging="360"/>
      </w:pPr>
      <w:rPr>
        <w:rFonts w:ascii="標楷體" w:eastAsia="標楷體" w:hAnsi="標楷體"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9A"/>
    <w:rsid w:val="00097B5F"/>
    <w:rsid w:val="005860CD"/>
    <w:rsid w:val="006A20D7"/>
    <w:rsid w:val="0082769A"/>
    <w:rsid w:val="00AE7BE9"/>
    <w:rsid w:val="00D02C68"/>
    <w:rsid w:val="00D958E9"/>
    <w:rsid w:val="00E00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B134"/>
  <w15:chartTrackingRefBased/>
  <w15:docId w15:val="{619ED777-AF40-4565-A4BC-DDAE5E97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769A"/>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2769A"/>
    <w:pPr>
      <w:tabs>
        <w:tab w:val="center" w:pos="4153"/>
        <w:tab w:val="right" w:pos="8306"/>
      </w:tabs>
      <w:snapToGrid w:val="0"/>
    </w:pPr>
    <w:rPr>
      <w:sz w:val="20"/>
    </w:rPr>
  </w:style>
  <w:style w:type="character" w:customStyle="1" w:styleId="a4">
    <w:name w:val="頁尾 字元"/>
    <w:basedOn w:val="a0"/>
    <w:link w:val="a3"/>
    <w:rsid w:val="0082769A"/>
    <w:rPr>
      <w:rFonts w:ascii="Times New Roman" w:eastAsia="新細明體" w:hAnsi="Times New Roman" w:cs="Times New Roman"/>
      <w:kern w:val="3"/>
      <w:sz w:val="20"/>
      <w:szCs w:val="20"/>
    </w:rPr>
  </w:style>
  <w:style w:type="paragraph" w:styleId="a5">
    <w:name w:val="List Paragraph"/>
    <w:basedOn w:val="a"/>
    <w:uiPriority w:val="34"/>
    <w:qFormat/>
    <w:rsid w:val="00AE7BE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2023-10-03T05:18:00Z</dcterms:created>
  <dcterms:modified xsi:type="dcterms:W3CDTF">2023-10-03T05:32:00Z</dcterms:modified>
</cp:coreProperties>
</file>